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CMOS Opex Cost Function - long period</w:t>
      </w:r>
    </w:p>
    <w:p>
      <w:pPr>
        <w:pStyle w:val="Subtitle"/>
      </w:pPr>
      <w:r>
        <w:t/>
      </w:r>
      <w:r>
        <w:t xml:space="preserve"/>
      </w:r>
      <w:r>
        <w:t xml:space="preserve">LSECD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.5104001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.3719072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.6488931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.5850524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.4165004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.7536042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.7805143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.6316684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.9293602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.6823646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.5452127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.8195166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.6971937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.5849088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.8094785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.5712194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.4517473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.6906915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.6784154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.5271056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.8297251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.7269353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.5717053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.8821652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.9651973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.7778506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1.152544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.8561007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.7134389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.9987625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.6772689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1.058036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.9309893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.7430136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1.118965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.7578488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.6163329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.8993647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.4887381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.3513223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.6261538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.5333182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.369448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.6971884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.7502757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.5821636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.9183877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.6758751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.5339165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.8178336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.6514013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.5338082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.7689943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.6142681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.4543299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.7742063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.5535117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.9140763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.6047372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.4454901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.9778615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.7898996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1.165823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.7921764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.6561191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.9282336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.8604807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.6660377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.7692898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.5728112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.9657685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.7270935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.5776045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.8765826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Efficiency Scores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.7249513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.8162312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.7512184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.7104752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.8005573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.8206267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.7753446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.8725615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.7874898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.7443998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.8381292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.523013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.493575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.5546986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.5820377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.6541165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.912888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.8615887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.9683158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.7260116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.6851476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.7699955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.7121516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.6720678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.7552958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.5862814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.5532823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.6218001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.6047496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.641387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.7402593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.6985936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.7851064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.9688181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.9230448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1.045723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.8767096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.9854576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.7668291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.7236677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.8132858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.9076537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.9627074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.9715891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.9273297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1.053116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.7249513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.8162312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.5540035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.5238349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.5863952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.3085128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.2917125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.326551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.7634369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.7218633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.8080737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.494467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.4675404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.5233776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.4463592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.4220524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.4724571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.7771767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.7348549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.8226169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.7404448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.7001234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.7837374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.7395386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.8278598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.9659896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.9199596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1.035369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.9148834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.8651361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.9684825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.7585555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.7172478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.802907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.9768125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.9369194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1.065336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.8177329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.7732027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.8655444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.7154235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.6779989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.7606698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.7154235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.7606698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.6779989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.7128712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.7578884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.6756279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.8012813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.851402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.7591912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.7554461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.8029385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.71586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